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71</w:t>
      </w:r>
    </w:p>
    <w:p>
      <w:r>
        <w:t>Bundesgericht (BGE), 1977-07-05, FR</w:t>
      </w:r>
    </w:p>
    <w:p>
      <w:r>
        <w:rPr>
          <w:b/>
        </w:rPr>
        <w:t xml:space="preserve">Quelle: </w:t>
      </w:r>
      <w:r>
        <w:t>https://mcp.opencaselaw.ch/entscheid/bge_103 IV 71</w:t>
      </w:r>
    </w:p>
    <w:p>
      <w:r>
        <w:t>FR: ATF 103 IV 71</w:t>
      </w:r>
    </w:p>
    <w:p>
      <w:r>
        <w:t>IT: DTF 103 IV 71</w:t>
      </w:r>
    </w:p>
    <w:p>
      <w:pPr>
        <w:pStyle w:val="Heading2"/>
      </w:pPr>
      <w:r>
        <w:t>Regeste</w:t>
      </w:r>
    </w:p>
    <w:p>
      <w:r>
        <w:t>Regeste Art. 29 StGB. Der Wille, Strafantrag zu stellen, muss in der vorgesehenen Form vor Ablauf der Frist von drei Monaten geäussert werden. Will der Verletzte durch einen Vertreter handeln oder handelt ein Dritter für ihn ohne Vollmacht, so ist der Strafantrag nur gültig, wenn die Vollmacht bzw. Genehmigung vor Ablauf der Frist beigebracht wird.</w:t>
      </w:r>
    </w:p>
    <w:p>
      <w:pPr>
        <w:pStyle w:val="Heading2"/>
      </w:pPr>
      <w:r>
        <w:t>Erwägungen</w:t>
      </w:r>
    </w:p>
    <w:p>
      <w:r>
        <w:rPr>
          <w:b/>
        </w:rPr>
        <w:t>E. 4</w:t>
      </w:r>
    </w:p>
    <w:p>
      <w:r>
        <w:t>a) Le seul moyen sur lequel le Tribunal fédéral puisse entrer en matière, dans le cadre du pourvoi en nullité, est celui qui consiste à soutenir qu'il y aurait eu ratification de la plainte par le syndicat et qu'une ratification même postérieure à l'échéance du délai de plainte est possible en vertu du droit fédéral. b) La ratification dont se prévaut la recourante ne peut être que l'attestation signée le 11 décembre 1976 par les nouveaux caissiers et secrétaires du syndicat qui, dès le 26 septembre 1976, avaient qualité pour l'engager juridiquement. On peut en effet admettre qu'il ressort de cette attestation que les personnes habilitées à engager le syndicat après le 26 septembre 1976, soit après l'échéance du délai de plainte, ont ratifié la plainte déposée auparavant par Y. et Z. déclarant agir pour le syndicat. Une telle ratification, survenue après l'échéance du délai de plainte, doit cependant être considérée comme inopérante. En vertu de l' art. 29 CP , le droit de porter plainte se prescrit par trois mois. Or l'exercice de ce droit implique que le lésé a manifesté dans le délai de trois mois, et dans les formes prévues, sa volonté de déposer plainte. S'il veut agir par l'entremise d'un représentant, cette manifestation de volonté doit ressortir des pouvoirs conférés au représentant et, dès lors, être au moins contemporaine de l'octroi de ces pouvoirs, si elle ne lui est antérieure. Elle peut également ressortir de la ratification des actes d'un représentant sans pouvoirs, la ratification constituant alors la manifestation de volonté; mais pour être opérante elle doit s'exercer avant l'échéance du délai de trois mois de l' art. 29 CP . Toute autre manière de voir serait contraire au but et au sens du délai de plainte. Ce point de vue est d'ailleurs celui de la doctrine (REHBERG, in RPS 1969/85 p. 258-259; WALTER HUBER, die allgemeinen Regeln über den Strafantrag, p. HAUSER et REHBERG Strafrecht I, p. 109; cf. aussi, en droit allemand: JESCHECK, Lehrbuch, allg. Teil, 2e éd., p. 666). Ainsi, la manifestation de la volonté de déposer plainte du syndicat contenue dans la ratification émanant des personnes habilitées à l'engager juridiquement n'étant que postérieure à l'échéance du délai de plainte, elle est impropre à valider la BGE 103 IV 71 S. 73 plainte déposée dans le délai par les représentants sans pouvoirs qu'étaient Y. et Z. c) C'est en vain, enfin, que la recourante invoque l'arrêt publié in ATF 73 IV 68 . Cet arrêt concerne un représentant qui était habilité à représenter la personne morale lésée, ce qui n'est pas le cas dans la présente espèce. A supposer même, comme le prétend la recourante, que Y. et Z. avaient certains pouvoirs de représentation, qu'ils exerçaient en fait dans le cadre du syndicat, de tels pouvoirs ne sauraient en aucun cas s'étendre au droit strictement personnel que constitue le droit de déposer une plainte pour atteinte à l'honneur. Dans un tel cas, une procuration spéciale est toujours nécessaire ( ATF 99 IV 4 -5). Le pourvoi doit donc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